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D7" w:rsidRDefault="00570235">
      <w:r>
        <w:rPr>
          <w:noProof/>
        </w:rPr>
        <w:drawing>
          <wp:inline distT="0" distB="0" distL="0" distR="0">
            <wp:extent cx="1885950" cy="5302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83" cy="5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35" w:rsidRDefault="00697CFA" w:rsidP="00281F7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FAST TRACK</w:t>
      </w:r>
      <w:bookmarkStart w:id="0" w:name="_GoBack"/>
      <w:bookmarkEnd w:id="0"/>
      <w:r w:rsidR="00570235" w:rsidRPr="00570235">
        <w:rPr>
          <w:rFonts w:ascii="Arial" w:hAnsi="Arial" w:cs="Arial"/>
          <w:b/>
          <w:sz w:val="32"/>
          <w:szCs w:val="32"/>
        </w:rPr>
        <w:t xml:space="preserve"> Services</w:t>
      </w:r>
    </w:p>
    <w:p w:rsidR="00570235" w:rsidRPr="00570235" w:rsidRDefault="00570235" w:rsidP="00570235">
      <w:pPr>
        <w:tabs>
          <w:tab w:val="left" w:pos="304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6"/>
        <w:gridCol w:w="6977"/>
        <w:gridCol w:w="4195"/>
      </w:tblGrid>
      <w:tr w:rsidR="00570235" w:rsidRPr="00A436FD" w:rsidTr="00AD4E5B">
        <w:tc>
          <w:tcPr>
            <w:tcW w:w="1370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FD">
              <w:rPr>
                <w:rFonts w:ascii="Arial" w:hAnsi="Arial" w:cs="Arial"/>
                <w:b/>
                <w:sz w:val="20"/>
                <w:szCs w:val="20"/>
              </w:rPr>
              <w:t>Expedited Service</w:t>
            </w:r>
          </w:p>
        </w:tc>
        <w:tc>
          <w:tcPr>
            <w:tcW w:w="2267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6F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:rsidR="00570235" w:rsidRPr="00A436FD" w:rsidRDefault="00570235" w:rsidP="00570235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pct"/>
          </w:tcPr>
          <w:p w:rsidR="00570235" w:rsidRPr="00A436FD" w:rsidRDefault="00490F20" w:rsidP="00570235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267" w:type="pct"/>
          </w:tcPr>
          <w:p w:rsidR="00570235" w:rsidRPr="00A436FD" w:rsidRDefault="00C610B1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any time for a </w:t>
            </w:r>
            <w:r w:rsidR="00570235" w:rsidRPr="00A436FD">
              <w:rPr>
                <w:rFonts w:ascii="Arial" w:hAnsi="Arial" w:cs="Arial"/>
                <w:sz w:val="20"/>
                <w:szCs w:val="20"/>
              </w:rPr>
              <w:t>24</w:t>
            </w:r>
            <w:r w:rsidR="00281F78" w:rsidRPr="00A436FD">
              <w:rPr>
                <w:rFonts w:ascii="Arial" w:hAnsi="Arial" w:cs="Arial"/>
                <w:sz w:val="20"/>
                <w:szCs w:val="20"/>
              </w:rPr>
              <w:t>-</w:t>
            </w:r>
            <w:r w:rsidR="00570235" w:rsidRPr="00A436FD">
              <w:rPr>
                <w:rFonts w:ascii="Arial" w:hAnsi="Arial" w:cs="Arial"/>
                <w:sz w:val="20"/>
                <w:szCs w:val="20"/>
              </w:rPr>
              <w:t>hour</w:t>
            </w:r>
            <w:r w:rsidR="00281F78" w:rsidRPr="00A43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1FD">
              <w:rPr>
                <w:rFonts w:ascii="Arial" w:hAnsi="Arial" w:cs="Arial"/>
                <w:sz w:val="20"/>
                <w:szCs w:val="20"/>
              </w:rPr>
              <w:t>turnaround*</w:t>
            </w:r>
          </w:p>
          <w:p w:rsidR="006E1B4B" w:rsidRPr="00A436FD" w:rsidRDefault="006E1B4B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</w:tcPr>
          <w:p w:rsidR="00570235" w:rsidRPr="00A436FD" w:rsidRDefault="005575A6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2 x Unit Price</w:t>
            </w:r>
            <w:r w:rsidR="006E1B4B" w:rsidRPr="00A436FD">
              <w:rPr>
                <w:rFonts w:ascii="Arial" w:hAnsi="Arial" w:cs="Arial"/>
                <w:sz w:val="20"/>
                <w:szCs w:val="20"/>
              </w:rPr>
              <w:t>^</w:t>
            </w: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 xml:space="preserve">Red Hot </w:t>
            </w:r>
          </w:p>
        </w:tc>
        <w:tc>
          <w:tcPr>
            <w:tcW w:w="2267" w:type="pct"/>
          </w:tcPr>
          <w:p w:rsidR="00570235" w:rsidRPr="00A436FD" w:rsidRDefault="00C610B1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="006E1B4B" w:rsidRPr="00A436FD">
              <w:rPr>
                <w:rFonts w:ascii="Arial" w:hAnsi="Arial" w:cs="Arial"/>
                <w:sz w:val="20"/>
                <w:szCs w:val="20"/>
              </w:rPr>
              <w:t>before 2pm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3-hour turnaround</w:t>
            </w:r>
          </w:p>
        </w:tc>
        <w:tc>
          <w:tcPr>
            <w:tcW w:w="1363" w:type="pct"/>
          </w:tcPr>
          <w:p w:rsidR="00570235" w:rsidRPr="00A436FD" w:rsidRDefault="006E1B4B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4 x Unit Price</w:t>
            </w:r>
            <w:r w:rsidR="00754A8E">
              <w:rPr>
                <w:rFonts w:ascii="Arial" w:hAnsi="Arial" w:cs="Arial"/>
                <w:sz w:val="20"/>
                <w:szCs w:val="20"/>
              </w:rPr>
              <w:t>^</w:t>
            </w:r>
          </w:p>
          <w:p w:rsidR="006E1B4B" w:rsidRPr="00A436FD" w:rsidRDefault="006E1B4B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 xml:space="preserve">Rush Hour </w:t>
            </w:r>
          </w:p>
        </w:tc>
        <w:tc>
          <w:tcPr>
            <w:tcW w:w="2267" w:type="pct"/>
          </w:tcPr>
          <w:p w:rsidR="00570235" w:rsidRPr="00A436FD" w:rsidRDefault="00C610B1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E1B4B" w:rsidRPr="00A436FD">
              <w:rPr>
                <w:rFonts w:ascii="Arial" w:hAnsi="Arial" w:cs="Arial"/>
                <w:sz w:val="20"/>
                <w:szCs w:val="20"/>
              </w:rPr>
              <w:t>ubmit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2pm and 4pm for turnaround by 6pm</w:t>
            </w:r>
          </w:p>
        </w:tc>
        <w:tc>
          <w:tcPr>
            <w:tcW w:w="1363" w:type="pct"/>
          </w:tcPr>
          <w:p w:rsidR="00570235" w:rsidRPr="00A436FD" w:rsidRDefault="006E1B4B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5 x Unit Price</w:t>
            </w:r>
            <w:r w:rsidR="00754A8E">
              <w:rPr>
                <w:rFonts w:ascii="Arial" w:hAnsi="Arial" w:cs="Arial"/>
                <w:sz w:val="20"/>
                <w:szCs w:val="20"/>
              </w:rPr>
              <w:t>^</w:t>
            </w:r>
          </w:p>
          <w:p w:rsidR="006E1B4B" w:rsidRPr="00A436FD" w:rsidRDefault="006E1B4B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570235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Express</w:t>
            </w:r>
          </w:p>
        </w:tc>
        <w:tc>
          <w:tcPr>
            <w:tcW w:w="2267" w:type="pct"/>
          </w:tcPr>
          <w:p w:rsidR="00570235" w:rsidRPr="00A436FD" w:rsidRDefault="00C610B1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E1B4B" w:rsidRPr="00A436FD">
              <w:rPr>
                <w:rFonts w:ascii="Arial" w:hAnsi="Arial" w:cs="Arial"/>
                <w:sz w:val="20"/>
                <w:szCs w:val="20"/>
              </w:rPr>
              <w:t xml:space="preserve">ubmit </w:t>
            </w:r>
            <w:r w:rsidR="00281F78" w:rsidRPr="00A436FD">
              <w:rPr>
                <w:rFonts w:ascii="Arial" w:hAnsi="Arial" w:cs="Arial"/>
                <w:sz w:val="20"/>
                <w:szCs w:val="20"/>
              </w:rPr>
              <w:t xml:space="preserve">between 9am and 4pm </w:t>
            </w:r>
            <w:r>
              <w:rPr>
                <w:rFonts w:ascii="Arial" w:hAnsi="Arial" w:cs="Arial"/>
                <w:sz w:val="20"/>
                <w:szCs w:val="20"/>
              </w:rPr>
              <w:t>for a 1-hour turnaround</w:t>
            </w:r>
          </w:p>
        </w:tc>
        <w:tc>
          <w:tcPr>
            <w:tcW w:w="1363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8 x Unit Price</w:t>
            </w:r>
            <w:r w:rsidR="00754A8E">
              <w:rPr>
                <w:rFonts w:ascii="Arial" w:hAnsi="Arial" w:cs="Arial"/>
                <w:sz w:val="20"/>
                <w:szCs w:val="20"/>
              </w:rPr>
              <w:t>^</w:t>
            </w:r>
          </w:p>
          <w:p w:rsidR="00281F78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490F20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F20">
              <w:rPr>
                <w:rFonts w:ascii="Arial" w:hAnsi="Arial" w:cs="Arial"/>
                <w:sz w:val="20"/>
                <w:szCs w:val="20"/>
              </w:rPr>
              <w:t>Final Call</w:t>
            </w:r>
          </w:p>
        </w:tc>
        <w:tc>
          <w:tcPr>
            <w:tcW w:w="2267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 xml:space="preserve">Submit between 4pm and </w:t>
            </w:r>
            <w:r w:rsidR="00785D0A">
              <w:rPr>
                <w:rFonts w:ascii="Arial" w:hAnsi="Arial" w:cs="Arial"/>
                <w:sz w:val="20"/>
                <w:szCs w:val="20"/>
              </w:rPr>
              <w:t>5.30</w:t>
            </w:r>
            <w:r w:rsidRPr="00A436FD">
              <w:rPr>
                <w:rFonts w:ascii="Arial" w:hAnsi="Arial" w:cs="Arial"/>
                <w:sz w:val="20"/>
                <w:szCs w:val="20"/>
              </w:rPr>
              <w:t xml:space="preserve">pm for </w:t>
            </w:r>
            <w:r w:rsidR="003861FD">
              <w:rPr>
                <w:rFonts w:ascii="Arial" w:hAnsi="Arial" w:cs="Arial"/>
                <w:sz w:val="20"/>
                <w:szCs w:val="20"/>
              </w:rPr>
              <w:t>turnaround</w:t>
            </w:r>
            <w:r w:rsidRPr="00A436FD">
              <w:rPr>
                <w:rFonts w:ascii="Arial" w:hAnsi="Arial" w:cs="Arial"/>
                <w:sz w:val="20"/>
                <w:szCs w:val="20"/>
              </w:rPr>
              <w:t xml:space="preserve"> by 7.30pm</w:t>
            </w:r>
            <w:r w:rsidR="00C610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6FD">
              <w:rPr>
                <w:rFonts w:ascii="Arial" w:hAnsi="Arial" w:cs="Arial"/>
                <w:sz w:val="20"/>
                <w:szCs w:val="20"/>
              </w:rPr>
              <w:t xml:space="preserve">Monday to Friday (excluding </w:t>
            </w:r>
            <w:r w:rsidR="003861FD"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Pr="00A436FD">
              <w:rPr>
                <w:rFonts w:ascii="Arial" w:hAnsi="Arial" w:cs="Arial"/>
                <w:sz w:val="20"/>
                <w:szCs w:val="20"/>
              </w:rPr>
              <w:t>public holidays)</w:t>
            </w:r>
          </w:p>
        </w:tc>
        <w:tc>
          <w:tcPr>
            <w:tcW w:w="1363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10 x Unit Price</w:t>
            </w:r>
            <w:r w:rsidR="00754A8E">
              <w:rPr>
                <w:rFonts w:ascii="Arial" w:hAnsi="Arial" w:cs="Arial"/>
                <w:sz w:val="20"/>
                <w:szCs w:val="20"/>
              </w:rPr>
              <w:t>^</w:t>
            </w:r>
          </w:p>
          <w:p w:rsidR="00281F78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F78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35" w:rsidRPr="00A436FD" w:rsidTr="00AD4E5B">
        <w:tc>
          <w:tcPr>
            <w:tcW w:w="1370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After Hours</w:t>
            </w:r>
            <w:r w:rsidR="00785D0A">
              <w:rPr>
                <w:rFonts w:ascii="Arial" w:hAnsi="Arial" w:cs="Arial"/>
                <w:sz w:val="20"/>
                <w:szCs w:val="20"/>
              </w:rPr>
              <w:t>, weekend and public holidays</w:t>
            </w:r>
          </w:p>
        </w:tc>
        <w:tc>
          <w:tcPr>
            <w:tcW w:w="2267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By special arrangement. Pleas</w:t>
            </w:r>
            <w:r w:rsidR="005B661F">
              <w:rPr>
                <w:rFonts w:ascii="Arial" w:hAnsi="Arial" w:cs="Arial"/>
                <w:sz w:val="20"/>
                <w:szCs w:val="20"/>
              </w:rPr>
              <w:t xml:space="preserve">e contact ClearAds </w:t>
            </w:r>
            <w:r w:rsidRPr="00A436FD">
              <w:rPr>
                <w:rFonts w:ascii="Arial" w:hAnsi="Arial" w:cs="Arial"/>
                <w:sz w:val="20"/>
                <w:szCs w:val="20"/>
              </w:rPr>
              <w:t>directl</w:t>
            </w:r>
            <w:r w:rsidR="00C610B1">
              <w:rPr>
                <w:rFonts w:ascii="Arial" w:hAnsi="Arial" w:cs="Arial"/>
                <w:sz w:val="20"/>
                <w:szCs w:val="20"/>
              </w:rPr>
              <w:t>y</w:t>
            </w:r>
            <w:r w:rsidR="00A436FD" w:rsidRPr="00A436FD">
              <w:rPr>
                <w:rFonts w:ascii="Arial" w:hAnsi="Arial" w:cs="Arial"/>
                <w:sz w:val="20"/>
                <w:szCs w:val="20"/>
              </w:rPr>
              <w:t xml:space="preserve"> to arrange </w:t>
            </w:r>
            <w:r w:rsidR="00C610B1">
              <w:rPr>
                <w:rFonts w:ascii="Arial" w:hAnsi="Arial" w:cs="Arial"/>
                <w:sz w:val="20"/>
                <w:szCs w:val="20"/>
              </w:rPr>
              <w:t>this</w:t>
            </w:r>
            <w:r w:rsidR="00A436FD" w:rsidRPr="00A436FD">
              <w:rPr>
                <w:rFonts w:ascii="Arial" w:hAnsi="Arial" w:cs="Arial"/>
                <w:sz w:val="20"/>
                <w:szCs w:val="20"/>
              </w:rPr>
              <w:t xml:space="preserve"> service.</w:t>
            </w:r>
          </w:p>
        </w:tc>
        <w:tc>
          <w:tcPr>
            <w:tcW w:w="1363" w:type="pct"/>
          </w:tcPr>
          <w:p w:rsidR="00570235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6FD">
              <w:rPr>
                <w:rFonts w:ascii="Arial" w:hAnsi="Arial" w:cs="Arial"/>
                <w:sz w:val="20"/>
                <w:szCs w:val="20"/>
              </w:rPr>
              <w:t>To be confirmed by special arrangement between C</w:t>
            </w:r>
            <w:r w:rsidR="005B661F">
              <w:rPr>
                <w:rFonts w:ascii="Arial" w:hAnsi="Arial" w:cs="Arial"/>
                <w:sz w:val="20"/>
                <w:szCs w:val="20"/>
              </w:rPr>
              <w:t>learAds</w:t>
            </w:r>
            <w:r w:rsidRPr="00A436F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610B1">
              <w:rPr>
                <w:rFonts w:ascii="Arial" w:hAnsi="Arial" w:cs="Arial"/>
                <w:sz w:val="20"/>
                <w:szCs w:val="20"/>
              </w:rPr>
              <w:t>a</w:t>
            </w:r>
            <w:r w:rsidRPr="00A436FD">
              <w:rPr>
                <w:rFonts w:ascii="Arial" w:hAnsi="Arial" w:cs="Arial"/>
                <w:sz w:val="20"/>
                <w:szCs w:val="20"/>
              </w:rPr>
              <w:t xml:space="preserve">pplicant. </w:t>
            </w:r>
          </w:p>
          <w:p w:rsidR="00281F78" w:rsidRPr="00A436FD" w:rsidRDefault="00281F78" w:rsidP="00570235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235" w:rsidRDefault="00570235" w:rsidP="00570235">
      <w:pPr>
        <w:tabs>
          <w:tab w:val="left" w:pos="3045"/>
        </w:tabs>
        <w:jc w:val="both"/>
        <w:rPr>
          <w:rFonts w:ascii="Arial" w:hAnsi="Arial" w:cs="Arial"/>
        </w:rPr>
      </w:pPr>
    </w:p>
    <w:p w:rsidR="00281F78" w:rsidRPr="00A436FD" w:rsidRDefault="00281F78" w:rsidP="00570235">
      <w:p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 w:rsidRPr="00A436FD">
        <w:rPr>
          <w:rFonts w:ascii="Arial" w:hAnsi="Arial" w:cs="Arial"/>
          <w:sz w:val="18"/>
          <w:szCs w:val="18"/>
        </w:rPr>
        <w:t>Expedited Services Terms and Conditions</w:t>
      </w:r>
    </w:p>
    <w:p w:rsidR="00281F78" w:rsidRPr="00A436FD" w:rsidRDefault="00281F78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 w:rsidRPr="00A436FD">
        <w:rPr>
          <w:rFonts w:ascii="Arial" w:hAnsi="Arial" w:cs="Arial"/>
          <w:sz w:val="18"/>
          <w:szCs w:val="18"/>
        </w:rPr>
        <w:t>*24</w:t>
      </w:r>
      <w:r w:rsidR="00A436FD" w:rsidRPr="00A436FD">
        <w:rPr>
          <w:rFonts w:ascii="Arial" w:hAnsi="Arial" w:cs="Arial"/>
          <w:sz w:val="18"/>
          <w:szCs w:val="18"/>
        </w:rPr>
        <w:t>-</w:t>
      </w:r>
      <w:r w:rsidR="00490F20">
        <w:rPr>
          <w:rFonts w:ascii="Arial" w:hAnsi="Arial" w:cs="Arial"/>
          <w:sz w:val="18"/>
          <w:szCs w:val="18"/>
        </w:rPr>
        <w:t>hour t</w:t>
      </w:r>
      <w:r w:rsidRPr="00A436FD">
        <w:rPr>
          <w:rFonts w:ascii="Arial" w:hAnsi="Arial" w:cs="Arial"/>
          <w:sz w:val="18"/>
          <w:szCs w:val="18"/>
        </w:rPr>
        <w:t>urnaround time commences during C</w:t>
      </w:r>
      <w:r w:rsidR="005B661F">
        <w:rPr>
          <w:rFonts w:ascii="Arial" w:hAnsi="Arial" w:cs="Arial"/>
          <w:sz w:val="18"/>
          <w:szCs w:val="18"/>
        </w:rPr>
        <w:t>learAds</w:t>
      </w:r>
      <w:r w:rsidRPr="00A436FD">
        <w:rPr>
          <w:rFonts w:ascii="Arial" w:hAnsi="Arial" w:cs="Arial"/>
          <w:sz w:val="18"/>
          <w:szCs w:val="18"/>
        </w:rPr>
        <w:t xml:space="preserve"> normal business hours of 9.00am-5.30pm Monday to Friday, excluding NSW public holidays. If an application is submitted outside of C</w:t>
      </w:r>
      <w:r w:rsidR="005B661F">
        <w:rPr>
          <w:rFonts w:ascii="Arial" w:hAnsi="Arial" w:cs="Arial"/>
          <w:sz w:val="18"/>
          <w:szCs w:val="18"/>
        </w:rPr>
        <w:t>learAd</w:t>
      </w:r>
      <w:r w:rsidRPr="00A436FD">
        <w:rPr>
          <w:rFonts w:ascii="Arial" w:hAnsi="Arial" w:cs="Arial"/>
          <w:sz w:val="18"/>
          <w:szCs w:val="18"/>
        </w:rPr>
        <w:t xml:space="preserve">s normal business hours, the turnaround time commences once </w:t>
      </w:r>
      <w:r w:rsidR="00490F20">
        <w:rPr>
          <w:rFonts w:ascii="Arial" w:hAnsi="Arial" w:cs="Arial"/>
          <w:sz w:val="18"/>
          <w:szCs w:val="18"/>
        </w:rPr>
        <w:t xml:space="preserve">normal </w:t>
      </w:r>
      <w:r w:rsidRPr="00A436FD">
        <w:rPr>
          <w:rFonts w:ascii="Arial" w:hAnsi="Arial" w:cs="Arial"/>
          <w:sz w:val="18"/>
          <w:szCs w:val="18"/>
        </w:rPr>
        <w:t xml:space="preserve">business hours commence. For example, if you </w:t>
      </w:r>
      <w:proofErr w:type="gramStart"/>
      <w:r w:rsidRPr="00A436FD">
        <w:rPr>
          <w:rFonts w:ascii="Arial" w:hAnsi="Arial" w:cs="Arial"/>
          <w:sz w:val="18"/>
          <w:szCs w:val="18"/>
        </w:rPr>
        <w:t>submit an application</w:t>
      </w:r>
      <w:proofErr w:type="gramEnd"/>
      <w:r w:rsidRPr="00A436FD">
        <w:rPr>
          <w:rFonts w:ascii="Arial" w:hAnsi="Arial" w:cs="Arial"/>
          <w:sz w:val="18"/>
          <w:szCs w:val="18"/>
        </w:rPr>
        <w:t xml:space="preserve"> at 11pm and request a Priority Service, you will receive a response within 24 hours from 9am the next business day. </w:t>
      </w:r>
    </w:p>
    <w:p w:rsidR="00A436FD" w:rsidRPr="00A436FD" w:rsidRDefault="00A436FD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 w:rsidRPr="00A436FD">
        <w:rPr>
          <w:rFonts w:ascii="Arial" w:hAnsi="Arial" w:cs="Arial"/>
          <w:sz w:val="18"/>
          <w:szCs w:val="18"/>
        </w:rPr>
        <w:t xml:space="preserve">^Unit Prices can be found </w:t>
      </w:r>
      <w:r w:rsidR="005B661F">
        <w:rPr>
          <w:rFonts w:ascii="Arial" w:hAnsi="Arial" w:cs="Arial"/>
          <w:sz w:val="18"/>
          <w:szCs w:val="18"/>
        </w:rPr>
        <w:t>in the Fees section on the ClearAds website</w:t>
      </w:r>
    </w:p>
    <w:p w:rsidR="00281F78" w:rsidRPr="00A436FD" w:rsidRDefault="003861FD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Turnaround</w:t>
      </w:r>
      <w:r w:rsidR="00281F78" w:rsidRPr="00A436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times are</w:t>
      </w:r>
      <w:r w:rsidR="00281F78" w:rsidRPr="00A436FD">
        <w:rPr>
          <w:rFonts w:ascii="Arial" w:hAnsi="Arial" w:cs="Arial"/>
          <w:sz w:val="18"/>
          <w:szCs w:val="18"/>
        </w:rPr>
        <w:t xml:space="preserve"> subject to C</w:t>
      </w:r>
      <w:r w:rsidR="005B661F">
        <w:rPr>
          <w:rFonts w:ascii="Arial" w:hAnsi="Arial" w:cs="Arial"/>
          <w:sz w:val="18"/>
          <w:szCs w:val="18"/>
        </w:rPr>
        <w:t>learAds</w:t>
      </w:r>
      <w:r w:rsidR="00107608">
        <w:rPr>
          <w:rFonts w:ascii="Arial" w:hAnsi="Arial" w:cs="Arial"/>
          <w:sz w:val="18"/>
          <w:szCs w:val="18"/>
        </w:rPr>
        <w:t xml:space="preserve"> receiving </w:t>
      </w:r>
      <w:r w:rsidR="00281F78" w:rsidRPr="00A436FD">
        <w:rPr>
          <w:rFonts w:ascii="Arial" w:hAnsi="Arial" w:cs="Arial"/>
          <w:sz w:val="18"/>
          <w:szCs w:val="18"/>
        </w:rPr>
        <w:t xml:space="preserve">all required information for the application. This includes, but is not necessarily limited to vision, a matching vision script and any relevant substantiation materials. </w:t>
      </w:r>
    </w:p>
    <w:p w:rsidR="00281F78" w:rsidRPr="00A436FD" w:rsidRDefault="00107608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you select an </w:t>
      </w:r>
      <w:r w:rsidR="00A436FD" w:rsidRPr="00A436FD">
        <w:rPr>
          <w:rFonts w:ascii="Arial" w:hAnsi="Arial" w:cs="Arial"/>
          <w:sz w:val="18"/>
          <w:szCs w:val="18"/>
        </w:rPr>
        <w:t xml:space="preserve">Expedited </w:t>
      </w:r>
      <w:proofErr w:type="gramStart"/>
      <w:r w:rsidR="00A436FD" w:rsidRPr="00A436FD">
        <w:rPr>
          <w:rFonts w:ascii="Arial" w:hAnsi="Arial" w:cs="Arial"/>
          <w:sz w:val="18"/>
          <w:szCs w:val="18"/>
        </w:rPr>
        <w:t>Service</w:t>
      </w:r>
      <w:proofErr w:type="gramEnd"/>
      <w:r>
        <w:rPr>
          <w:rFonts w:ascii="Arial" w:hAnsi="Arial" w:cs="Arial"/>
          <w:sz w:val="18"/>
          <w:szCs w:val="18"/>
        </w:rPr>
        <w:t xml:space="preserve"> the applicable fee will automatically apply. Please ensure you consider the service you require before selecting an Expedited Service. </w:t>
      </w:r>
    </w:p>
    <w:p w:rsidR="00A436FD" w:rsidRPr="00A436FD" w:rsidRDefault="00A436FD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 w:rsidRPr="00A436FD">
        <w:rPr>
          <w:rFonts w:ascii="Arial" w:hAnsi="Arial" w:cs="Arial"/>
          <w:sz w:val="18"/>
          <w:szCs w:val="18"/>
        </w:rPr>
        <w:t xml:space="preserve">A closing fee of 50% of an applicable rate will apply where </w:t>
      </w:r>
      <w:r w:rsidR="005B661F">
        <w:rPr>
          <w:rFonts w:ascii="Arial" w:hAnsi="Arial" w:cs="Arial"/>
          <w:sz w:val="18"/>
          <w:szCs w:val="18"/>
        </w:rPr>
        <w:t>ClearAds</w:t>
      </w:r>
      <w:r w:rsidRPr="00A436FD">
        <w:rPr>
          <w:rFonts w:ascii="Arial" w:hAnsi="Arial" w:cs="Arial"/>
          <w:sz w:val="18"/>
          <w:szCs w:val="18"/>
        </w:rPr>
        <w:t xml:space="preserve"> has received an Expedited Service application and the applicant decides not to proceed with </w:t>
      </w:r>
      <w:r w:rsidR="00107608">
        <w:rPr>
          <w:rFonts w:ascii="Arial" w:hAnsi="Arial" w:cs="Arial"/>
          <w:sz w:val="18"/>
          <w:szCs w:val="18"/>
        </w:rPr>
        <w:t>C</w:t>
      </w:r>
      <w:r w:rsidR="005B661F">
        <w:rPr>
          <w:rFonts w:ascii="Arial" w:hAnsi="Arial" w:cs="Arial"/>
          <w:sz w:val="18"/>
          <w:szCs w:val="18"/>
        </w:rPr>
        <w:t>learAds</w:t>
      </w:r>
      <w:r w:rsidR="00107608">
        <w:rPr>
          <w:rFonts w:ascii="Arial" w:hAnsi="Arial" w:cs="Arial"/>
          <w:sz w:val="18"/>
          <w:szCs w:val="18"/>
        </w:rPr>
        <w:t xml:space="preserve"> approval</w:t>
      </w:r>
      <w:r w:rsidRPr="00A436FD">
        <w:rPr>
          <w:rFonts w:ascii="Arial" w:hAnsi="Arial" w:cs="Arial"/>
          <w:sz w:val="18"/>
          <w:szCs w:val="18"/>
        </w:rPr>
        <w:t>. A closing fee may also be applied where the ‘On Air Date’ has lapsed and C</w:t>
      </w:r>
      <w:r w:rsidR="005B661F">
        <w:rPr>
          <w:rFonts w:ascii="Arial" w:hAnsi="Arial" w:cs="Arial"/>
          <w:sz w:val="18"/>
          <w:szCs w:val="18"/>
        </w:rPr>
        <w:t>learAds</w:t>
      </w:r>
      <w:r w:rsidRPr="00A436FD">
        <w:rPr>
          <w:rFonts w:ascii="Arial" w:hAnsi="Arial" w:cs="Arial"/>
          <w:sz w:val="18"/>
          <w:szCs w:val="18"/>
        </w:rPr>
        <w:t xml:space="preserve"> has not received further instructions to proceed with the application. </w:t>
      </w:r>
    </w:p>
    <w:p w:rsidR="00A436FD" w:rsidRPr="00A436FD" w:rsidRDefault="00A436FD" w:rsidP="00281F78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  <w:sz w:val="18"/>
          <w:szCs w:val="18"/>
        </w:rPr>
      </w:pPr>
      <w:r w:rsidRPr="00A436FD">
        <w:rPr>
          <w:rFonts w:ascii="Arial" w:hAnsi="Arial" w:cs="Arial"/>
          <w:sz w:val="18"/>
          <w:szCs w:val="18"/>
        </w:rPr>
        <w:t xml:space="preserve">Times listed above are </w:t>
      </w:r>
      <w:r w:rsidR="00107608">
        <w:rPr>
          <w:rFonts w:ascii="Arial" w:hAnsi="Arial" w:cs="Arial"/>
          <w:sz w:val="18"/>
          <w:szCs w:val="18"/>
        </w:rPr>
        <w:t xml:space="preserve">Sydney, </w:t>
      </w:r>
      <w:r w:rsidRPr="00A436FD">
        <w:rPr>
          <w:rFonts w:ascii="Arial" w:hAnsi="Arial" w:cs="Arial"/>
          <w:sz w:val="18"/>
          <w:szCs w:val="18"/>
        </w:rPr>
        <w:t>Australia time</w:t>
      </w:r>
      <w:r w:rsidR="00107608">
        <w:rPr>
          <w:rFonts w:ascii="Arial" w:hAnsi="Arial" w:cs="Arial"/>
          <w:sz w:val="18"/>
          <w:szCs w:val="18"/>
        </w:rPr>
        <w:t>.</w:t>
      </w:r>
    </w:p>
    <w:sectPr w:rsidR="00A436FD" w:rsidRPr="00A436FD" w:rsidSect="00A436F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04" w:rsidRDefault="008D3D04" w:rsidP="00570235">
      <w:pPr>
        <w:spacing w:after="0" w:line="240" w:lineRule="auto"/>
      </w:pPr>
      <w:r>
        <w:separator/>
      </w:r>
    </w:p>
  </w:endnote>
  <w:endnote w:type="continuationSeparator" w:id="0">
    <w:p w:rsidR="008D3D04" w:rsidRDefault="008D3D04" w:rsidP="0057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35" w:rsidRDefault="00570235" w:rsidP="00570235">
    <w:pPr>
      <w:pStyle w:val="Footer"/>
      <w:jc w:val="right"/>
    </w:pPr>
    <w:r>
      <w:t>April 2019</w:t>
    </w:r>
  </w:p>
  <w:p w:rsidR="00570235" w:rsidRDefault="0057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04" w:rsidRDefault="008D3D04" w:rsidP="00570235">
      <w:pPr>
        <w:spacing w:after="0" w:line="240" w:lineRule="auto"/>
      </w:pPr>
      <w:r>
        <w:separator/>
      </w:r>
    </w:p>
  </w:footnote>
  <w:footnote w:type="continuationSeparator" w:id="0">
    <w:p w:rsidR="008D3D04" w:rsidRDefault="008D3D04" w:rsidP="0057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766BE"/>
    <w:multiLevelType w:val="hybridMultilevel"/>
    <w:tmpl w:val="A3FC7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35"/>
    <w:rsid w:val="00107608"/>
    <w:rsid w:val="00141848"/>
    <w:rsid w:val="00281F78"/>
    <w:rsid w:val="003861FD"/>
    <w:rsid w:val="003B6A15"/>
    <w:rsid w:val="00490F20"/>
    <w:rsid w:val="005575A6"/>
    <w:rsid w:val="00570235"/>
    <w:rsid w:val="005B661F"/>
    <w:rsid w:val="00684753"/>
    <w:rsid w:val="00697CFA"/>
    <w:rsid w:val="006E1B4B"/>
    <w:rsid w:val="007458D4"/>
    <w:rsid w:val="00754A8E"/>
    <w:rsid w:val="00785D0A"/>
    <w:rsid w:val="008D3D04"/>
    <w:rsid w:val="00A436FD"/>
    <w:rsid w:val="00AD4E5B"/>
    <w:rsid w:val="00B25A1C"/>
    <w:rsid w:val="00BC5B62"/>
    <w:rsid w:val="00C610B1"/>
    <w:rsid w:val="00C648C4"/>
    <w:rsid w:val="00D456F8"/>
    <w:rsid w:val="00D627B3"/>
    <w:rsid w:val="00F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F6BF"/>
  <w15:chartTrackingRefBased/>
  <w15:docId w15:val="{853CFBA6-8107-4600-A90D-782A946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35"/>
  </w:style>
  <w:style w:type="paragraph" w:styleId="Footer">
    <w:name w:val="footer"/>
    <w:basedOn w:val="Normal"/>
    <w:link w:val="FooterChar"/>
    <w:uiPriority w:val="99"/>
    <w:unhideWhenUsed/>
    <w:rsid w:val="0057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35"/>
  </w:style>
  <w:style w:type="table" w:styleId="TableGrid">
    <w:name w:val="Table Grid"/>
    <w:basedOn w:val="TableNormal"/>
    <w:uiPriority w:val="39"/>
    <w:rsid w:val="0057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6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Spies (Gerung)</dc:creator>
  <cp:keywords/>
  <dc:description/>
  <cp:lastModifiedBy>Melanie Tweddell</cp:lastModifiedBy>
  <cp:revision>2</cp:revision>
  <cp:lastPrinted>2019-04-16T00:30:00Z</cp:lastPrinted>
  <dcterms:created xsi:type="dcterms:W3CDTF">2019-11-11T03:15:00Z</dcterms:created>
  <dcterms:modified xsi:type="dcterms:W3CDTF">2019-11-11T03:15:00Z</dcterms:modified>
</cp:coreProperties>
</file>